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D0" w:rsidRPr="002E44EF" w:rsidRDefault="00F475D0" w:rsidP="00174382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2E44EF">
        <w:rPr>
          <w:rFonts w:ascii="PT Astra Serif" w:hAnsi="PT Astra Serif" w:cs="Times New Roman"/>
          <w:sz w:val="24"/>
          <w:szCs w:val="24"/>
        </w:rPr>
        <w:t>Приложение № 3</w:t>
      </w:r>
    </w:p>
    <w:p w:rsidR="001F0A3D" w:rsidRPr="002E44EF" w:rsidRDefault="001F0A3D" w:rsidP="001F0A3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E44EF">
        <w:rPr>
          <w:rFonts w:ascii="PT Astra Serif" w:hAnsi="PT Astra Serif" w:cs="Times New Roman"/>
          <w:b/>
          <w:bCs/>
          <w:sz w:val="28"/>
          <w:szCs w:val="28"/>
        </w:rPr>
        <w:t>Сведения</w:t>
      </w:r>
    </w:p>
    <w:p w:rsidR="001F0A3D" w:rsidRPr="002E44EF" w:rsidRDefault="001F0A3D" w:rsidP="001F0A3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E44EF">
        <w:rPr>
          <w:rFonts w:ascii="PT Astra Serif" w:hAnsi="PT Astra Serif" w:cs="Times New Roman"/>
          <w:b/>
          <w:bCs/>
          <w:sz w:val="28"/>
          <w:szCs w:val="28"/>
        </w:rPr>
        <w:t>о достижении целей и значений показателей</w:t>
      </w:r>
    </w:p>
    <w:p w:rsidR="001F0A3D" w:rsidRPr="002E44EF" w:rsidRDefault="001F0A3D" w:rsidP="001F0A3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E44EF">
        <w:rPr>
          <w:rFonts w:ascii="PT Astra Serif" w:hAnsi="PT Astra Serif" w:cs="Times New Roman"/>
          <w:b/>
          <w:bCs/>
          <w:sz w:val="28"/>
          <w:szCs w:val="28"/>
        </w:rPr>
        <w:t>государственной программы Саратовской области</w:t>
      </w:r>
    </w:p>
    <w:p w:rsidR="001F0A3D" w:rsidRPr="002E44EF" w:rsidRDefault="001F0A3D" w:rsidP="001F0A3D">
      <w:pPr>
        <w:pStyle w:val="ConsPlusNormal"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E44EF">
        <w:rPr>
          <w:rFonts w:ascii="PT Astra Serif" w:hAnsi="PT Astra Serif" w:cs="Times New Roman"/>
          <w:b/>
          <w:sz w:val="28"/>
          <w:szCs w:val="28"/>
        </w:rPr>
        <w:t>«Развитие образования в Саратовской области»</w:t>
      </w:r>
    </w:p>
    <w:p w:rsidR="00D21D1A" w:rsidRPr="002E44EF" w:rsidRDefault="001F0A3D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2E44EF">
        <w:rPr>
          <w:rFonts w:ascii="PT Astra Serif" w:hAnsi="PT Astra Serif" w:cs="Times New Roman"/>
          <w:b/>
          <w:bCs/>
          <w:sz w:val="28"/>
          <w:szCs w:val="28"/>
        </w:rPr>
        <w:t xml:space="preserve">за период </w:t>
      </w:r>
      <w:r w:rsidR="002455C4" w:rsidRPr="002E44EF">
        <w:rPr>
          <w:rFonts w:ascii="PT Astra Serif" w:hAnsi="PT Astra Serif" w:cs="Times New Roman"/>
          <w:b/>
          <w:bCs/>
          <w:sz w:val="28"/>
          <w:szCs w:val="28"/>
        </w:rPr>
        <w:t>12</w:t>
      </w:r>
      <w:r w:rsidR="00B92A30" w:rsidRPr="002E44EF">
        <w:rPr>
          <w:rFonts w:ascii="PT Astra Serif" w:hAnsi="PT Astra Serif" w:cs="Times New Roman"/>
          <w:b/>
          <w:bCs/>
          <w:sz w:val="28"/>
          <w:szCs w:val="28"/>
        </w:rPr>
        <w:t xml:space="preserve"> месяцев</w:t>
      </w:r>
      <w:r w:rsidRPr="002E44EF">
        <w:rPr>
          <w:rFonts w:ascii="PT Astra Serif" w:hAnsi="PT Astra Serif" w:cs="Times New Roman"/>
          <w:b/>
          <w:bCs/>
          <w:sz w:val="28"/>
          <w:szCs w:val="28"/>
        </w:rPr>
        <w:t xml:space="preserve"> 2023 года</w:t>
      </w:r>
    </w:p>
    <w:p w:rsidR="001F0A3D" w:rsidRPr="002E44EF" w:rsidRDefault="001F0A3D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318" w:type="dxa"/>
        <w:tblInd w:w="204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5"/>
        <w:gridCol w:w="2555"/>
        <w:gridCol w:w="6"/>
        <w:gridCol w:w="1276"/>
        <w:gridCol w:w="96"/>
        <w:gridCol w:w="92"/>
        <w:gridCol w:w="88"/>
        <w:gridCol w:w="2180"/>
        <w:gridCol w:w="43"/>
        <w:gridCol w:w="1966"/>
        <w:gridCol w:w="33"/>
        <w:gridCol w:w="33"/>
        <w:gridCol w:w="33"/>
        <w:gridCol w:w="1742"/>
        <w:gridCol w:w="1787"/>
        <w:gridCol w:w="2783"/>
      </w:tblGrid>
      <w:tr w:rsidR="0044791C" w:rsidRPr="002E44EF" w:rsidTr="00AC513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1F0A3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Цель, показатель (наименование)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1F0A3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Цели и значения показателей государственной программы, подпрограммы государственной программы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Обоснование отклонений значений показателя (при наличии)</w:t>
            </w:r>
          </w:p>
        </w:tc>
      </w:tr>
      <w:tr w:rsidR="0044791C" w:rsidRPr="002E44EF" w:rsidTr="00AC513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год, предшествующий отчетному</w:t>
            </w:r>
            <w:r w:rsidR="00F8490E"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572736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установлен</w:t>
            </w:r>
            <w:r w:rsidR="00F9750F"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ные на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фактически достигнутые за отчетный период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 xml:space="preserve">степень выполнения, </w:t>
            </w:r>
            <w:r w:rsidR="001F0A3D" w:rsidRPr="002E44EF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F9750F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E44EF" w:rsidRDefault="001F0A3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Цели государственной программы</w:t>
            </w:r>
          </w:p>
        </w:tc>
      </w:tr>
      <w:tr w:rsidR="008E1532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</w:t>
            </w:r>
            <w:bookmarkStart w:id="0" w:name="sub_10401"/>
            <w:r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0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Доступность дошкольного образования для детей в возрасте 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E1532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" w:name="sub_10402"/>
            <w:r w:rsidRPr="002E44EF">
              <w:rPr>
                <w:rFonts w:ascii="PT Astra Serif" w:hAnsi="PT Astra Serif" w:cs="Times New Roman"/>
                <w:color w:val="000000" w:themeColor="text1"/>
              </w:rPr>
              <w:t>2.</w:t>
            </w:r>
            <w:bookmarkEnd w:id="1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Удельный вес обучающихся в общеобразовательных организациях, которые обучаются в соответствии с требованиями федеральных государственных образовательных стандартов, от общего количества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lang w:val="en-US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8E1532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8E1532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E1532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2" w:name="sub_10403"/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3.</w:t>
            </w:r>
            <w:bookmarkEnd w:id="2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8E1532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Количество участников регионального и заключительного этапа всероссийской олимпиады школьников, научных конференций, конкурсов, фестивалей, интернет-марафонов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105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344CBF" w:rsidP="00344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Увеличение показателей связано с увеличением количества контингента</w:t>
            </w:r>
          </w:p>
        </w:tc>
      </w:tr>
      <w:tr w:rsidR="004D37FD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3" w:name="sub_10404"/>
            <w:r w:rsidRPr="002E44EF">
              <w:rPr>
                <w:rFonts w:ascii="PT Astra Serif" w:hAnsi="PT Astra Serif" w:cs="Times New Roman"/>
                <w:color w:val="000000" w:themeColor="text1"/>
              </w:rPr>
              <w:t>4.</w:t>
            </w:r>
            <w:bookmarkEnd w:id="3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Удельный вес выпускников профессиональных образовательных организаций очной формы обучения, трудоустроившихся в течение одного года после окончания обучения по полученной специальности (профессии), от их общей численности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66,5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113,6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912854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Показатель перевыполнен на счет комплексной работы сферы профессиональных образовательных организаций</w:t>
            </w:r>
          </w:p>
        </w:tc>
      </w:tr>
      <w:tr w:rsidR="0044791C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4" w:name="sub_10405"/>
            <w:r w:rsidRPr="002E44EF">
              <w:rPr>
                <w:rFonts w:ascii="PT Astra Serif" w:hAnsi="PT Astra Serif" w:cs="Times New Roman"/>
                <w:color w:val="000000" w:themeColor="text1"/>
              </w:rPr>
              <w:t>5.</w:t>
            </w:r>
            <w:bookmarkEnd w:id="4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92,0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A6BCA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lang w:val="en-US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  <w:lang w:val="en-US"/>
              </w:rPr>
              <w:t>91</w:t>
            </w: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</w:t>
            </w: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91285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98,8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854" w:rsidRPr="002E44EF" w:rsidRDefault="00912854" w:rsidP="0091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Невыполнение целевого ориентира связано со снижением общего количества детей-сирот и детей, оставшихся без попечения родителей, на 3,8% (с 6783 до 6526 детей).</w:t>
            </w:r>
          </w:p>
          <w:p w:rsidR="00DB72E2" w:rsidRPr="002E44EF" w:rsidRDefault="00912854" w:rsidP="0091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Количество детей-сирот и детей, ОБПР состоящих </w:t>
            </w: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на учете в государственном банке данных снизилось на 1,2% с 561 до 554 детей.</w:t>
            </w: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Подпрограмма 1 «Развитие системы дошкольного образования»</w:t>
            </w: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проектной части</w:t>
            </w:r>
          </w:p>
        </w:tc>
      </w:tr>
      <w:tr w:rsidR="0044791C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1.1.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Количество дополнительно созданных мест с целью обеспечения дошкольным образованием детей в возрасте до 3 лет нарастающим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тыс.мест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5,630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5,640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AC513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5,640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AC513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AC5139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1.2.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Удельный вес детей дошкольного возраста, имеющих возможность получать услуги дошкольного образования, от общего количества детей в возрасте от 3 до 7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AC5139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AC5139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AC5139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1.3.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Доля детей-инвалидов в возрасте от 1,5 до 7 лет, охваченных дошкольным образованием, от общей численности детей-инвалидов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данного возраста желающих посещать дошкольные 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AC5139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AC5139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39" w:rsidRPr="002E44EF" w:rsidRDefault="00AC513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1.4.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Отношение среднемесячной заработной платы педагогических работников государственных (муниципальных) дошкольных образовательных организаций к среднемесячной заработной плате в сфере общего образования в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103,0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9C" w:rsidRPr="002E44EF" w:rsidRDefault="004D64A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  <w:p w:rsidR="00AF35AC" w:rsidRPr="002E44EF" w:rsidRDefault="004D64AD" w:rsidP="004D6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(</w:t>
            </w:r>
            <w:r w:rsidR="00AF35AC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оцен</w:t>
            </w: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ка)</w:t>
            </w:r>
            <w:r w:rsidR="00AF35AC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4D64A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2E44EF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2E44EF" w:rsidTr="00AC513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B3289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1.5.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Доля дошкольных образовательных организаций, в которых проведены мероприятия по укреплению материально-технической базы в соответствии с требованиями к осуществлению образовательной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bookmarkStart w:id="5" w:name="sub_104002"/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46048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fldChar w:fldCharType="begin"/>
            </w:r>
            <w:r w:rsidR="00DB72E2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instrText>HYPERLINK \l "sub_10120"</w:instrText>
            </w: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="00DB72E2" w:rsidRPr="002E44EF">
              <w:rPr>
                <w:rStyle w:val="a7"/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>Подпрограмма 2</w:t>
            </w: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fldChar w:fldCharType="end"/>
            </w:r>
            <w:r w:rsidR="00DB72E2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«Развитие системы общего и дополнительного образования</w:t>
            </w:r>
            <w:bookmarkEnd w:id="5"/>
            <w:r w:rsidR="00DB72E2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проектной части</w:t>
            </w:r>
          </w:p>
        </w:tc>
      </w:tr>
      <w:tr w:rsidR="004D37FD" w:rsidRPr="002E44EF" w:rsidTr="00AC513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6" w:name="sub_104021"/>
            <w:r w:rsidRPr="002E44EF">
              <w:rPr>
                <w:rFonts w:ascii="PT Astra Serif" w:hAnsi="PT Astra Serif" w:cs="Times New Roman"/>
                <w:color w:val="000000" w:themeColor="text1"/>
              </w:rPr>
              <w:t>2.1.</w:t>
            </w:r>
            <w:bookmarkEnd w:id="6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77,4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70,85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79,27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58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</w:t>
            </w:r>
            <w:r w:rsidR="005843B4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11,88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9B519B" w:rsidP="009B5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За счет активного взаимодействия министерства образования области с министерством спорта области, проведение большого количества программ спортивной подготовки.</w:t>
            </w:r>
          </w:p>
        </w:tc>
      </w:tr>
      <w:tr w:rsidR="004D37FD" w:rsidRPr="002E44EF" w:rsidTr="00AC513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2.2.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единиц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AC513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2.3.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ориентацию, в том числе в рамках программы «Билет в будущее»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68,41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58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</w:t>
            </w:r>
            <w:r w:rsidR="005843B4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84,89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912854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eastAsiaTheme="minorEastAsia" w:hAnsi="PT Astra Serif" w:cs="Times New Roman"/>
                <w:color w:val="000000" w:themeColor="text1"/>
                <w:sz w:val="24"/>
                <w:szCs w:val="24"/>
                <w:lang w:eastAsia="ru-RU"/>
              </w:rPr>
              <w:t>Показатель перевыполнен благодаря эффективной реализации профориентационных мероприятий в рамках «Билета в будущее» и собственных проектных инициатив, охватывающих большее количество детей</w:t>
            </w:r>
          </w:p>
        </w:tc>
      </w:tr>
      <w:tr w:rsidR="004D37FD" w:rsidRPr="002E44EF" w:rsidTr="00AC513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2.4.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«Кванториум» и центров «IT-куб»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2,94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3,71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58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</w:t>
            </w:r>
            <w:r w:rsidR="005843B4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12,42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912854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Показатель перевыполнен в связи с увеличением числа мероприятий, разработкой программ дополнительного образования и организацией образовательных проектов на базе Школьного Кванториума</w:t>
            </w:r>
          </w:p>
        </w:tc>
      </w:tr>
      <w:tr w:rsidR="004D37FD" w:rsidRPr="002E44EF" w:rsidTr="00AC513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2.5.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eastAsiaTheme="minorHAnsi" w:hAnsi="PT Astra Serif" w:cs="Times New Roman"/>
                <w:color w:val="000000" w:themeColor="text1"/>
                <w:lang w:eastAsia="en-US"/>
              </w:rPr>
            </w:pPr>
            <w:r w:rsidRPr="002E44EF">
              <w:rPr>
                <w:rFonts w:ascii="PT Astra Serif" w:eastAsiaTheme="minorHAnsi" w:hAnsi="PT Astra Serif" w:cs="Times New Roman"/>
                <w:color w:val="000000" w:themeColor="text1"/>
                <w:lang w:eastAsia="en-US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eastAsiaTheme="minorHAnsi" w:hAnsi="PT Astra Serif" w:cs="Times New Roman"/>
                <w:color w:val="000000" w:themeColor="text1"/>
                <w:lang w:eastAsia="en-US"/>
              </w:rPr>
            </w:pPr>
            <w:r w:rsidRPr="002E44EF">
              <w:rPr>
                <w:rFonts w:ascii="PT Astra Serif" w:eastAsiaTheme="minorHAnsi" w:hAnsi="PT Astra Serif" w:cs="Times New Roman"/>
                <w:color w:val="000000" w:themeColor="text1"/>
                <w:lang w:eastAsia="en-US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81,64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5843B4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250,43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9B519B" w:rsidP="009B5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Показатель перевыполнен в связи с активной работой центров «Точка роста»,IT-куб.</w:t>
            </w: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7" w:name="sub_104245"/>
            <w:r w:rsidRPr="002E44EF">
              <w:rPr>
                <w:rFonts w:ascii="PT Astra Serif" w:hAnsi="PT Astra Serif"/>
                <w:color w:val="000000" w:themeColor="text1"/>
              </w:rPr>
              <w:t>2.6.</w:t>
            </w:r>
            <w:bookmarkEnd w:id="7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 xml:space="preserve">Доступность получения услуги по зачислению в общеобразовательную </w:t>
            </w: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организацию в электронном виде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100</w:t>
            </w:r>
            <w:r w:rsidR="00DA6BCA" w:rsidRPr="002E44EF">
              <w:rPr>
                <w:rFonts w:ascii="PT Astra Serif" w:hAnsi="PT Astra Serif"/>
                <w:color w:val="000000" w:themeColor="text1"/>
              </w:rPr>
              <w:t>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2.7.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t>Удельный вес детей-инвалидов, имеющих соответствующие показания с сохранным интеллектом и не имеющих противопоказаний, обучающихся на дому с использованием дистанционных форм обучения, от всех детей-инвалидов, которым показана дистанционная форма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95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95</w:t>
            </w:r>
            <w:r w:rsidR="00DA6BCA" w:rsidRPr="002E44EF">
              <w:rPr>
                <w:rFonts w:ascii="PT Astra Serif" w:hAnsi="PT Astra Serif"/>
                <w:color w:val="000000" w:themeColor="text1"/>
              </w:rPr>
              <w:t>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DA6BCA" w:rsidRPr="002E44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C24DC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2E44EF" w:rsidRDefault="00C24DC1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2.8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2E44EF" w:rsidRDefault="007608E9" w:rsidP="007608E9">
            <w:pPr>
              <w:pStyle w:val="a5"/>
            </w:pPr>
            <w:r w:rsidRPr="002E44EF">
              <w:t>Доля детей с ограниченными возможностями здоровья, получающих дополнительное образование, в том числе с использованием дистанционных технологий, в общей численности детей-инвалидов данного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2E44EF" w:rsidRDefault="007608E9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2E44EF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58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2E44EF" w:rsidRDefault="007608E9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64</w:t>
            </w:r>
            <w:r w:rsidR="00DA6BCA" w:rsidRPr="002E44EF">
              <w:rPr>
                <w:rFonts w:ascii="PT Astra Serif" w:hAnsi="PT Astra Serif"/>
                <w:color w:val="000000" w:themeColor="text1"/>
              </w:rPr>
              <w:t>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DA6BCA" w:rsidRPr="002E44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2E44EF" w:rsidRDefault="00C24DC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7608E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2.9</w:t>
            </w:r>
            <w:r w:rsidR="00DB72E2"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Доля педагогических работников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организаций общего образования, которым при прохождении аттестации присвоена первая и высшая категория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532FE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74,16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CC77B6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74,16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105,9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9F4D1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Действующим регламентом работы </w:t>
            </w: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аттестационной комиссии области расширен перечень категорий педагогических работников, которые имеют право на прохождение аттестации без проведения оценки результатов профессиональной деятельности (по заявлению, в «льготной» форме), благодаря чему увеличилось количество педагогических работников, желающих пройти аттестацию.</w:t>
            </w:r>
          </w:p>
        </w:tc>
      </w:tr>
      <w:tr w:rsidR="0044791C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2.</w:t>
            </w:r>
            <w:r w:rsidR="007608E9" w:rsidRPr="002E44EF">
              <w:rPr>
                <w:rFonts w:ascii="PT Astra Serif" w:hAnsi="PT Astra Serif" w:cs="Times New Roman"/>
                <w:color w:val="000000" w:themeColor="text1"/>
              </w:rPr>
              <w:t>10</w:t>
            </w:r>
            <w:r w:rsidR="00DB72E2"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участников Всероссийской Олимпиады школьников по общеобразовательным предметам от общего количества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 менее 50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344CB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Увеличение показателей связано с увеличением количества контингента</w:t>
            </w:r>
          </w:p>
        </w:tc>
      </w:tr>
      <w:tr w:rsidR="0044791C" w:rsidRPr="002E44EF" w:rsidTr="00BC2E72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B48" w:rsidRPr="002E44EF" w:rsidRDefault="007608E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2.11</w:t>
            </w:r>
            <w:r w:rsidR="00AF6B48"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Отношение среднемесячной средней заработной платы педагогических работников государственных (муниципальных):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C2E72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образовательных организаций общего образования к среднемесячному доходу от трудовой деятельности по области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120,2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122,9</w:t>
            </w:r>
          </w:p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(оценка)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122,9</w:t>
            </w:r>
          </w:p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Включение в среднюю заработную плату вознаграждения педагогическим работникам, осуществляющим классное руководство за счет средств федерального бюджета (5000 руб.).</w:t>
            </w:r>
          </w:p>
        </w:tc>
      </w:tr>
      <w:tr w:rsidR="00BC2E72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образовательных организаций дополнительного образования детей к среднемесячной заработной плате учителей по области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103,1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106,3</w:t>
            </w:r>
          </w:p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(оценка)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72" w:rsidRPr="002E44EF" w:rsidRDefault="00BC2E72" w:rsidP="00BC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eastAsiaTheme="minorEastAsia" w:hAnsi="PT Astra Serif" w:cs="Times New Roman"/>
                <w:color w:val="000000" w:themeColor="text1"/>
                <w:sz w:val="24"/>
                <w:szCs w:val="24"/>
                <w:lang w:eastAsia="ru-RU"/>
              </w:rPr>
              <w:t>Включение  в заработную плату отпускных, выплачиваемых в летний период</w:t>
            </w:r>
          </w:p>
        </w:tc>
      </w:tr>
      <w:tr w:rsidR="0044791C" w:rsidRPr="002E44EF" w:rsidTr="00BC2E72">
        <w:trPr>
          <w:trHeight w:val="20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7608E9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8" w:name="sub_104247"/>
            <w:r w:rsidRPr="002E44EF">
              <w:rPr>
                <w:rFonts w:ascii="PT Astra Serif" w:hAnsi="PT Astra Serif"/>
                <w:color w:val="000000" w:themeColor="text1"/>
              </w:rPr>
              <w:t>2.12</w:t>
            </w:r>
            <w:r w:rsidR="00AF6B48" w:rsidRPr="002E44EF">
              <w:rPr>
                <w:rFonts w:ascii="PT Astra Serif" w:hAnsi="PT Astra Serif"/>
                <w:color w:val="000000" w:themeColor="text1"/>
              </w:rPr>
              <w:t>.</w:t>
            </w:r>
            <w:bookmarkEnd w:id="8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 xml:space="preserve"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в общем количестве обучающихся, получающих начальное общее образование в государственных и муниципальных </w:t>
            </w: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образовательных организациях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100</w:t>
            </w:r>
            <w:r w:rsidR="00DA6BCA" w:rsidRPr="002E44EF">
              <w:rPr>
                <w:rFonts w:ascii="PT Astra Serif" w:hAnsi="PT Astra Serif"/>
                <w:color w:val="000000" w:themeColor="text1"/>
              </w:rPr>
              <w:t>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7608E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2.13</w:t>
            </w:r>
            <w:r w:rsidR="00DB72E2"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8E153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46048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hyperlink w:anchor="sub_10130" w:history="1">
              <w:r w:rsidR="00DB72E2" w:rsidRPr="002E44EF">
                <w:rPr>
                  <w:rStyle w:val="a7"/>
                  <w:rFonts w:ascii="PT Astra Serif" w:hAnsi="PT Astra Serif" w:cs="Times New Roman"/>
                  <w:bCs/>
                  <w:color w:val="000000" w:themeColor="text1"/>
                  <w:sz w:val="24"/>
                  <w:szCs w:val="24"/>
                </w:rPr>
                <w:t>Подпрограмма 3</w:t>
              </w:r>
            </w:hyperlink>
            <w:r w:rsidR="00DB72E2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«Поддержка одаренных детей Саратовской области»</w:t>
            </w:r>
          </w:p>
        </w:tc>
      </w:tr>
      <w:tr w:rsidR="00AF6B48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2E44EF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8E1532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3.1.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Количество одаренных детей участников областной летней школы «Созвездие» по физико-математическому, естественнонаучному, гуманитарному циклам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tabs>
                <w:tab w:val="left" w:pos="561"/>
                <w:tab w:val="center" w:pos="7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107,6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344CBF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Увеличение показателей связано с увеличением количества контингента</w:t>
            </w:r>
          </w:p>
        </w:tc>
      </w:tr>
      <w:tr w:rsidR="008E1532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5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3.2.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Количество участников в областных учебно-тренировочных сборах, школе интеллектуального роста по физико-математическому, естественнонаучному,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гуманитарному циклам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5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человек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E1532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9" w:name="sub_104034"/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3.3.</w:t>
            </w:r>
            <w:bookmarkEnd w:id="9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Количество одаренных детей - участников в интенсивных школах по физико-математическому, естественнонаучному, гуманитарному циклам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E1532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0" w:name="sub_104031"/>
            <w:r w:rsidRPr="002E44EF">
              <w:rPr>
                <w:rFonts w:ascii="PT Astra Serif" w:hAnsi="PT Astra Serif" w:cs="Times New Roman"/>
                <w:color w:val="000000" w:themeColor="text1"/>
              </w:rPr>
              <w:t>3.4.</w:t>
            </w:r>
            <w:bookmarkEnd w:id="10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Количество победителей и призеров всероссийских и международных олимпиад, конкурсов, фестивалей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E1532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1" w:name="sub_104036"/>
            <w:r w:rsidRPr="002E44EF">
              <w:rPr>
                <w:rFonts w:ascii="PT Astra Serif" w:hAnsi="PT Astra Serif" w:cs="Times New Roman"/>
                <w:color w:val="000000" w:themeColor="text1"/>
              </w:rPr>
              <w:t>3.5.</w:t>
            </w:r>
            <w:bookmarkEnd w:id="11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Количество участников муниципального этапа Всероссийской олимпиады школьников, выполнявших работы по единым заданиям повышенной сложности (с 7 по 11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30870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27400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31692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8E1532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115,7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Pr="002E44EF" w:rsidRDefault="00344CBF" w:rsidP="008E1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Увеличение показателей связано с увеличением количества контингента</w:t>
            </w: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Подпрограмма 4 «Развитие профессионального образования»</w:t>
            </w: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4.1.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Доля студентов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средних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программ, оценке результатов их освоения и проведении учебных занятий), в общей численности студентов профессиональных образовательных организаций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4.2.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Удельный вес численности занятого населения в возрасте 25-65 лет, прошедшего повышение квалификации и (или) переподготовку, от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общей численности занятого в экономике населения данной возрастной группы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44,0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44,5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4.3.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Удельный вес числа образовательных организаций среднего профессионального образования и высшего образования, здания которых приспособлены для обучения лиц с ограниченными возможностями здоровья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26,0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27,0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103,7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0767F1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В 19 образовательных организациях из 67 проведены мероприятия по повышению доступности зданий, приспособленных для обучения лиц с ограниченными возможностями здоровья   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4.4.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Обеспечение потребности экономики области в кадрах высокой квалификации по приоритетным направлениям модернизации и технологического развития (доля профессиональных образовательных организаций, внедривших новые программы и модели профессионального образования)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82,0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82,0</w:t>
            </w:r>
          </w:p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4.5.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Численность студентов, обучающихся по основным образовательным программам среднего профессионального образования в государственных и муниципальных образовательных организациях среднего профессионального образования, в расчете на одного работника, замещающего должности преподавателей и (или) мастеров производственного обучения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156,0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0767F1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В 2023 году увеличен контингент обучающихся в профессиональных образовательных организациях на 1,4 тыс. чел.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4.6.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  <w:p w:rsidR="00220836" w:rsidRPr="002E44EF" w:rsidRDefault="00220836" w:rsidP="00220836">
            <w:pPr>
              <w:rPr>
                <w:lang w:eastAsia="ru-RU"/>
              </w:rPr>
            </w:pPr>
          </w:p>
          <w:p w:rsidR="00220836" w:rsidRPr="002E44EF" w:rsidRDefault="00220836" w:rsidP="00220836">
            <w:pPr>
              <w:rPr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8E1532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EastAsia" w:hAnsi="PT Astra Serif" w:cs="Times New Roman"/>
                <w:sz w:val="24"/>
                <w:szCs w:val="24"/>
                <w:lang w:eastAsia="ru-RU"/>
              </w:rPr>
            </w:pPr>
            <w:r w:rsidRPr="002E44EF">
              <w:rPr>
                <w:rFonts w:ascii="PT Astra Serif" w:eastAsiaTheme="minorEastAsia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eastAsiaTheme="minorEastAsia" w:hAnsi="PT Astra Serif" w:cs="Times New Roman"/>
                <w:sz w:val="24"/>
                <w:szCs w:val="24"/>
                <w:lang w:eastAsia="ru-RU"/>
              </w:rPr>
            </w:pPr>
            <w:r w:rsidRPr="002E44EF">
              <w:rPr>
                <w:rFonts w:ascii="PT Astra Serif" w:eastAsiaTheme="minorEastAsia" w:hAnsi="PT Astra Serif" w:cs="Times New Roman"/>
                <w:sz w:val="24"/>
                <w:szCs w:val="24"/>
                <w:lang w:eastAsia="ru-RU"/>
              </w:rPr>
              <w:t>Студенты из числа инвалидов,</w:t>
            </w:r>
          </w:p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EastAsia" w:hAnsi="PT Astra Serif" w:cs="Times New Roman"/>
                <w:sz w:val="24"/>
                <w:szCs w:val="24"/>
                <w:lang w:eastAsia="ru-RU"/>
              </w:rPr>
            </w:pPr>
            <w:r w:rsidRPr="002E44EF">
              <w:rPr>
                <w:rFonts w:ascii="PT Astra Serif" w:eastAsiaTheme="minorEastAsia" w:hAnsi="PT Astra Serif" w:cs="Times New Roman"/>
                <w:sz w:val="24"/>
                <w:szCs w:val="24"/>
                <w:lang w:eastAsia="ru-RU"/>
              </w:rPr>
              <w:t>выбывших по причине академической неуспеваемости, отсутствуют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4.7.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организаций, реализующих образовательные программы среднего профессионального образования (из всех источников) к среднемесячному доходу от трудовой деятельности в субъекте Российской Федерации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115,1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AD" w:rsidRPr="002E44EF" w:rsidRDefault="00BC2E72" w:rsidP="004D6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112,4</w:t>
            </w:r>
          </w:p>
          <w:p w:rsidR="00AF35AC" w:rsidRPr="002E44EF" w:rsidRDefault="004D64AD" w:rsidP="004D6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(оценка)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BC2E7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112,4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BC2E7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eastAsiaTheme="minorEastAsia" w:hAnsi="PT Astra Serif" w:cs="Times New Roman"/>
                <w:color w:val="000000" w:themeColor="text1"/>
                <w:sz w:val="24"/>
                <w:szCs w:val="24"/>
                <w:lang w:eastAsia="ru-RU"/>
              </w:rPr>
              <w:t>Включение в среднюю заработную плату вознаграждения педагогическим работникам, осуществляющим классное руководство (кураторство) за счет средств федерального бюджета (5000 руб.)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4.8.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 xml:space="preserve">Доля детей-сирот и детей, оставшихся без попечения родителей, лиц из числа детей-сирот и детей, оставшихся без попечения родителей, получающих второе среднее профессиональное образование по программе подготовки </w:t>
            </w: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квалифицированных рабочих, служащих по очной форме обучения, в числе обратившихся детей-сирот и детей, оставшихся без попечения родителей, лиц из числа детей-сирот и детей, оставшихся без попечения родителей, за получением второго среднего профессионального образования по программе подготовки квалифицированных рабочих, служащих по очной форме обучения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BC4" w:rsidRPr="002E44EF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4.9.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инвалидов молодого возраста, принятых на обучение по программам среднего профессионального образования, в общей численности инвалидов соответствующего возраста, в том числе: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15-17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1,0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</w:rPr>
            </w:pPr>
            <w:r w:rsidRPr="002E44EF">
              <w:rPr>
                <w:rFonts w:ascii="PT Astra Serif" w:hAnsi="PT Astra Serif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  <w:p w:rsidR="009F4D1F" w:rsidRPr="002E44EF" w:rsidRDefault="009F4D1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18-24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1,3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1,4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</w:rPr>
            </w:pPr>
            <w:r w:rsidRPr="002E44EF">
              <w:rPr>
                <w:rFonts w:ascii="PT Astra Serif" w:hAnsi="PT Astra Serif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25-44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</w:rPr>
            </w:pPr>
            <w:r w:rsidRPr="002E44EF">
              <w:rPr>
                <w:rFonts w:ascii="PT Astra Serif" w:hAnsi="PT Astra Serif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B32894" w:rsidP="009F4D1F">
            <w:pPr>
              <w:pStyle w:val="a6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4.10.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обучающихся по программам среднего профессионального образования инвалидов молодого возраста, в общей численности инвалидов соответствующего возраста, в том числе:</w:t>
            </w:r>
          </w:p>
        </w:tc>
        <w:tc>
          <w:tcPr>
            <w:tcW w:w="13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15-17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1,5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1,5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</w:rPr>
            </w:pPr>
            <w:r w:rsidRPr="002E44EF">
              <w:rPr>
                <w:rFonts w:ascii="PT Astra Serif" w:hAnsi="PT Astra Serif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18-24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4,5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4,5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</w:rPr>
            </w:pPr>
            <w:r w:rsidRPr="002E44EF">
              <w:rPr>
                <w:rFonts w:ascii="PT Astra Serif" w:hAnsi="PT Astra Serif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25-44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0,04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0,02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</w:rPr>
            </w:pPr>
            <w:r w:rsidRPr="002E44EF">
              <w:rPr>
                <w:rFonts w:ascii="PT Astra Serif" w:hAnsi="PT Astra Serif"/>
              </w:rPr>
              <w:t>0,03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150,0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0767F1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Обучение  по программам среднего профессионального образования для инвалидов является общедоступным, не имеет квоты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4.11.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Доля инвалидов молодого возраста, успешно завершивших обучение по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программам среднего профессионального образования, от числа принятых на обучение в соответствующем году, в том числе:</w:t>
            </w:r>
          </w:p>
        </w:tc>
        <w:tc>
          <w:tcPr>
            <w:tcW w:w="13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15-17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</w:rPr>
            </w:pPr>
            <w:r w:rsidRPr="002E44EF">
              <w:rPr>
                <w:rFonts w:ascii="PT Astra Serif" w:hAnsi="PT Astra Serif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18-24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93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</w:rPr>
            </w:pPr>
            <w:r w:rsidRPr="002E44EF">
              <w:rPr>
                <w:rFonts w:ascii="PT Astra Serif" w:hAnsi="PT Astra Serif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25-44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93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</w:rPr>
            </w:pPr>
            <w:r w:rsidRPr="002E44EF">
              <w:rPr>
                <w:rFonts w:ascii="PT Astra Serif" w:hAnsi="PT Astra Serif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B3289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4.12.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Доля инвалидов молодого возраста, принятых на обучение по программам высшего образования, в общей численности инвалидов соответствующего возраста, в том числе:</w:t>
            </w:r>
          </w:p>
        </w:tc>
        <w:tc>
          <w:tcPr>
            <w:tcW w:w="13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15-17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18-24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25-44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B3289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4.13.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 xml:space="preserve">Доля обучающихся по программам высшего образования инвалидов молодого возраста в общей численности </w:t>
            </w: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инвалидов соответствующего возраста, в том числе:</w:t>
            </w:r>
          </w:p>
        </w:tc>
        <w:tc>
          <w:tcPr>
            <w:tcW w:w="13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15-17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18-24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5,1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5,1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25-44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B3289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4.14.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Доля инвалидов молодого возраста, успешно завершивших обучение по программам высшего образования, в числе принятых на обучение в соответствующем году, в том числе:</w:t>
            </w:r>
          </w:p>
        </w:tc>
        <w:tc>
          <w:tcPr>
            <w:tcW w:w="13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15-17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18-24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25-44 лет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jc w:val="center"/>
            </w:pPr>
            <w:r w:rsidRPr="002E44EF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2E44EF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4.15.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2E44EF" w:rsidRDefault="00592D8B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Доля педагогических работников, которым осуществляется выплата ежемесячного денежного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вознаграждения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2E44EF" w:rsidRDefault="00592D8B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2E44EF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2E44EF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2E44EF" w:rsidRDefault="0077505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2E44EF" w:rsidRDefault="0077505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2E44EF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46048F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hyperlink w:anchor="sub_10150" w:history="1">
              <w:r w:rsidR="00DB72E2" w:rsidRPr="002E44EF">
                <w:rPr>
                  <w:rStyle w:val="a7"/>
                  <w:rFonts w:ascii="PT Astra Serif" w:hAnsi="PT Astra Serif" w:cs="Times New Roman"/>
                  <w:bCs/>
                  <w:color w:val="000000" w:themeColor="text1"/>
                  <w:sz w:val="24"/>
                  <w:szCs w:val="24"/>
                </w:rPr>
                <w:t>Подпрограмма 5</w:t>
              </w:r>
            </w:hyperlink>
            <w:r w:rsidR="00DB72E2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«Социальная адаптация детей-сирот, детей, оставшихся без попечения родителей»</w:t>
            </w:r>
          </w:p>
        </w:tc>
      </w:tr>
      <w:tr w:rsidR="00592D8B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2E44EF" w:rsidRDefault="00592D8B" w:rsidP="007608E9">
            <w:pPr>
              <w:spacing w:after="0" w:line="240" w:lineRule="auto"/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2" w:name="sub_104054"/>
            <w:r w:rsidRPr="002E44EF">
              <w:rPr>
                <w:rFonts w:ascii="PT Astra Serif" w:hAnsi="PT Astra Serif" w:cs="Times New Roman"/>
                <w:color w:val="000000" w:themeColor="text1"/>
              </w:rPr>
              <w:t>5.1.</w:t>
            </w:r>
            <w:bookmarkEnd w:id="12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Доля обеспеченных мерами социальной поддержки детей-сирот и детей, оставшихся без попечения родителей, лиц из их числа, обучающихся в государственных общеобразовательных организациях и организациях,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осуществляющих образовательную деятельность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3" w:name="sub_104055"/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5.2.</w:t>
            </w:r>
            <w:bookmarkEnd w:id="13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граждан, которым выплачено единовременное пособие от общего количества граждан принявших на воспитание в семью детей-сирот и детей, оставшихся без попечения родителей (из обратившихся)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4" w:name="sub_104056"/>
            <w:r w:rsidRPr="002E44EF">
              <w:rPr>
                <w:rFonts w:ascii="PT Astra Serif" w:hAnsi="PT Astra Serif" w:cs="Times New Roman"/>
                <w:color w:val="000000" w:themeColor="text1"/>
              </w:rPr>
              <w:t>5.3.</w:t>
            </w:r>
            <w:bookmarkEnd w:id="14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обеспеченных мерами социальной поддержки детей-сирот и детей, оставшихся без попечения родителей, воспитывающихся в приемных семьях области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5" w:name="sub_104057"/>
            <w:r w:rsidRPr="002E44EF">
              <w:rPr>
                <w:rFonts w:ascii="PT Astra Serif" w:hAnsi="PT Astra Serif" w:cs="Times New Roman"/>
                <w:color w:val="000000" w:themeColor="text1"/>
              </w:rPr>
              <w:t>5.4.</w:t>
            </w:r>
            <w:bookmarkEnd w:id="15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приемных семей, обеспеченных мерами социальной поддержки, от общей численности приемных семей в области (из обратившихся)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6" w:name="sub_104058"/>
            <w:r w:rsidRPr="002E44EF">
              <w:rPr>
                <w:rFonts w:ascii="PT Astra Serif" w:hAnsi="PT Astra Serif" w:cs="Times New Roman"/>
                <w:color w:val="000000" w:themeColor="text1"/>
              </w:rPr>
              <w:t>5.5.</w:t>
            </w:r>
            <w:bookmarkEnd w:id="16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 xml:space="preserve">Доля обеспеченных мерами социальной </w:t>
            </w: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поддержки детей-сирот и детей, оставшихся без попечения родителей, находящихся под опекой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7" w:name="sub_104059"/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5.6.</w:t>
            </w:r>
            <w:bookmarkEnd w:id="17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обеспеченных мерами социальной поддержки детей-сирот и детей, оставшихся без попечения родителей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Подпрограмма 6 «Развитие финансовой грамотности населения области»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94D9F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6.1</w:t>
            </w:r>
            <w:r w:rsidR="00C21BC4"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организаций общего и среднего профессионального образования, участвующих в онлайн - уроках Банка России, в их общем количестве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94D9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DA6BCA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DA6BCA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2E44EF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6.2.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t>Доля профессиональных образовательных организаций, которые обеспечили включение элементов финансовой грамотности в образовательные программы среднего профессионального образования, в их общем количестве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6.3.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863027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t>Доля общеобразовательных организаций, которые обеспечили включение элементов финансовой грамотности в образовательные программы начального общего, основного общего, среднего общего образования, в их общем количестве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863027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0B19D3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D3" w:rsidRPr="002E44EF" w:rsidRDefault="000B19D3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6.4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D3" w:rsidRPr="002E44EF" w:rsidRDefault="000B19D3" w:rsidP="00863027">
            <w:pPr>
              <w:pStyle w:val="a5"/>
            </w:pPr>
            <w:r w:rsidRPr="002E44EF">
              <w:t>Доля обучающихся в профессиональных образовательных организациях по образовательным программам среднего профессионального образования, принявших участие в мероприятиях, направленных на повышение финансовой грамотности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D3" w:rsidRPr="002E44EF" w:rsidRDefault="000B19D3" w:rsidP="00863027">
            <w:pPr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D3" w:rsidRPr="002E44EF" w:rsidRDefault="000B19D3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D3" w:rsidRPr="002E44EF" w:rsidRDefault="000B19D3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D3" w:rsidRPr="002E44EF" w:rsidRDefault="000B19D3" w:rsidP="00DA19E1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D3" w:rsidRPr="002E44EF" w:rsidRDefault="000B19D3" w:rsidP="00DA19E1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D3" w:rsidRPr="002E44EF" w:rsidRDefault="000B19D3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0B19D3" w:rsidP="00DA19E1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6.5</w:t>
            </w:r>
            <w:r w:rsidR="00DA19E1"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t xml:space="preserve">Доля обучающихся в общеобразовательных организациях, принявших участие в мероприятиях, направленных на повышение </w:t>
            </w:r>
            <w:r w:rsidRPr="002E44EF">
              <w:lastRenderedPageBreak/>
              <w:t>финансовой грамотности,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70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119</w:t>
            </w:r>
            <w:r w:rsidR="00DA6BCA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344CBF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Показатель представлен на основании результатов мониторинга охвата обучающихся начального общего, основного общего, среднего общего образования </w:t>
            </w: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мероприятиями по финансовой грамотности в рамках реализации основных общеобразовательных программ в 2023 году</w:t>
            </w: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0B19D3" w:rsidP="00DA19E1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6.6</w:t>
            </w:r>
            <w:r w:rsidR="00DA19E1"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t>Количество образовательных, информационных, просветительских мероприятий по повышению финансовой грамотности для взрослого населения области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единиц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1247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1247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AC5139" w:rsidP="00AC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Увеличение охвата по повышению финансовой грамотности для взрослого населения области</w:t>
            </w: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0B19D3" w:rsidP="00DA19E1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6.7</w:t>
            </w:r>
            <w:r w:rsidR="00DA19E1"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t>Доля организаций социального обслуживания населения, участвующих в онлайн-занятиях Банка России по финансовой грамотности для старшего поколения, в их общем количестве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A19E1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0B19D3" w:rsidP="00DA19E1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6.8</w:t>
            </w:r>
            <w:r w:rsidR="00DA19E1" w:rsidRPr="002E44EF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pStyle w:val="a5"/>
            </w:pPr>
            <w:r w:rsidRPr="002E44EF">
              <w:t xml:space="preserve">Количество педагогических работников, прошедших обучение </w:t>
            </w:r>
            <w:r w:rsidRPr="002E44EF">
              <w:lastRenderedPageBreak/>
              <w:t>по дополнительным профессиональным программам повышения квалификации по вопросам финансовой грамотности, а также программам, содержащим специальные модули по финансовой грамотности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lastRenderedPageBreak/>
              <w:t>человек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F">
              <w:rPr>
                <w:rFonts w:ascii="Times New Roman" w:hAnsi="Times New Roman" w:cs="Times New Roman"/>
                <w:sz w:val="24"/>
                <w:szCs w:val="24"/>
              </w:rPr>
              <w:t>1755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DA19E1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E1" w:rsidRPr="002E44EF" w:rsidRDefault="00344CBF" w:rsidP="00DA1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Увеличение охвата обучения педагогов обусловлено включением финансовой грамотности </w:t>
            </w: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в ФГОС и ФОП на всех уровнях образования (дошкольное общее, основное общее и среднее общее образование)</w:t>
            </w: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Подпрограмма 7 «Совершенствование управления системой образования»</w:t>
            </w:r>
          </w:p>
        </w:tc>
      </w:tr>
      <w:tr w:rsidR="00DB72E2" w:rsidRPr="002E44EF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2E44EF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проектной части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7.1.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41,7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46,76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47,87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387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</w:t>
            </w:r>
            <w:r w:rsidR="003871AF"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2,37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AC5139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На территории Саратовской области активно осуществляется внедрение информационной системы ФГИС «Моя школа» и ее сервисов в образовательный процесс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18" w:name="sub_104710"/>
            <w:r w:rsidRPr="002E44EF">
              <w:rPr>
                <w:rFonts w:ascii="PT Astra Serif" w:hAnsi="PT Astra Serif"/>
                <w:color w:val="000000" w:themeColor="text1"/>
              </w:rPr>
              <w:t>7.2.</w:t>
            </w:r>
            <w:bookmarkEnd w:id="18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</w:t>
            </w: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13,62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66,08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3871AF" w:rsidP="00387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264,32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AC5139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На территории Саратовской области активно осуществляется внедрение информационной системы ФГИС «Моя школа» и ее сервисов в образовательный процесс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19" w:name="sub_1040711"/>
            <w:r w:rsidRPr="002E44EF">
              <w:rPr>
                <w:rFonts w:ascii="PT Astra Serif" w:hAnsi="PT Astra Serif"/>
                <w:color w:val="000000" w:themeColor="text1"/>
              </w:rPr>
              <w:lastRenderedPageBreak/>
              <w:t>7.3.</w:t>
            </w:r>
            <w:bookmarkEnd w:id="19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64,76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3871AF" w:rsidP="00387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228,8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AC5139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На территории Саратовской области активно осуществляется внедрение информационной системы ФГИС «Моя школа» и ее сервисов в образовательный процесс</w:t>
            </w:r>
          </w:p>
        </w:tc>
      </w:tr>
      <w:tr w:rsidR="004D37FD" w:rsidRPr="002E44EF" w:rsidTr="00BC2E72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20" w:name="sub_1040712"/>
            <w:r w:rsidRPr="002E44EF">
              <w:rPr>
                <w:rFonts w:ascii="PT Astra Serif" w:hAnsi="PT Astra Serif"/>
                <w:color w:val="000000" w:themeColor="text1"/>
              </w:rPr>
              <w:t>7.4.</w:t>
            </w:r>
            <w:bookmarkEnd w:id="20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E44EF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94,52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4D37FD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3871AF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203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FD" w:rsidRPr="002E44EF" w:rsidRDefault="00AC5139" w:rsidP="004D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2E44E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На территории Саратовской области активно осуществляется внедрение информационной системы ФГИС «Моя школа» и ее сервисов в образовательный процесс</w:t>
            </w:r>
          </w:p>
        </w:tc>
      </w:tr>
    </w:tbl>
    <w:p w:rsidR="0002619A" w:rsidRPr="002E44EF" w:rsidRDefault="007608E9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E44EF">
        <w:rPr>
          <w:rFonts w:ascii="PT Astra Serif" w:hAnsi="PT Astra Serif" w:cs="Times New Roman"/>
          <w:sz w:val="24"/>
          <w:szCs w:val="24"/>
        </w:rPr>
        <w:br w:type="textWrapping" w:clear="all"/>
      </w:r>
    </w:p>
    <w:p w:rsidR="00637063" w:rsidRPr="002E44EF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E44EF">
        <w:rPr>
          <w:rFonts w:ascii="PT Astra Serif" w:hAnsi="PT Astra Serif" w:cs="Times New Roman"/>
          <w:sz w:val="24"/>
          <w:szCs w:val="24"/>
        </w:rPr>
        <w:t>-------------------------------</w:t>
      </w:r>
      <w:bookmarkStart w:id="21" w:name="Par196"/>
      <w:bookmarkEnd w:id="21"/>
    </w:p>
    <w:p w:rsidR="007E7842" w:rsidRPr="00863CC7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E44EF">
        <w:rPr>
          <w:rFonts w:ascii="PT Astra Serif" w:hAnsi="PT Astra Serif" w:cs="Times New Roman"/>
          <w:sz w:val="24"/>
          <w:szCs w:val="24"/>
        </w:rPr>
        <w:t>&lt;*&gt; Приводится фактическое значение показателя за год, предшествующий отчетному</w:t>
      </w:r>
      <w:bookmarkStart w:id="22" w:name="Par197"/>
      <w:bookmarkEnd w:id="22"/>
      <w:r w:rsidRPr="002E44EF">
        <w:rPr>
          <w:rFonts w:ascii="PT Astra Serif" w:hAnsi="PT Astra Serif" w:cs="Times New Roman"/>
          <w:sz w:val="24"/>
          <w:szCs w:val="24"/>
        </w:rPr>
        <w:t xml:space="preserve"> году.</w:t>
      </w:r>
    </w:p>
    <w:sectPr w:rsidR="007E7842" w:rsidRPr="00863CC7" w:rsidSect="00D21D1A">
      <w:footerReference w:type="even" r:id="rId7"/>
      <w:footerReference w:type="default" r:id="rId8"/>
      <w:pgSz w:w="16838" w:h="11905" w:orient="landscape"/>
      <w:pgMar w:top="851" w:right="536" w:bottom="1135" w:left="42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096" w:rsidRDefault="00C97096" w:rsidP="000E6210">
      <w:pPr>
        <w:spacing w:after="0" w:line="240" w:lineRule="auto"/>
      </w:pPr>
      <w:r>
        <w:separator/>
      </w:r>
    </w:p>
  </w:endnote>
  <w:endnote w:type="continuationSeparator" w:id="1">
    <w:p w:rsidR="00C97096" w:rsidRDefault="00C97096" w:rsidP="000E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D12" w:rsidRDefault="0046048F">
    <w:pPr>
      <w:pStyle w:val="a4"/>
      <w:framePr w:w="11935" w:h="173" w:wrap="none" w:vAnchor="text" w:hAnchor="page" w:x="-14" w:y="-496"/>
      <w:shd w:val="clear" w:color="auto" w:fill="auto"/>
      <w:ind w:left="10968"/>
    </w:pPr>
    <w:r w:rsidRPr="0046048F">
      <w:rPr>
        <w:rFonts w:ascii="Times New Roman" w:eastAsia="Times New Roman" w:hAnsi="Times New Roman" w:cs="Times New Roman"/>
      </w:rPr>
      <w:fldChar w:fldCharType="begin"/>
    </w:r>
    <w:r w:rsidR="00A34D12">
      <w:instrText xml:space="preserve"> PAGE \* MERGEFORMAT </w:instrText>
    </w:r>
    <w:r w:rsidRPr="0046048F">
      <w:rPr>
        <w:rFonts w:ascii="Times New Roman" w:eastAsia="Times New Roman" w:hAnsi="Times New Roman" w:cs="Times New Roman"/>
      </w:rPr>
      <w:fldChar w:fldCharType="separate"/>
    </w:r>
    <w:r w:rsidR="00A34D12" w:rsidRPr="002C41BF">
      <w:rPr>
        <w:rStyle w:val="LucidaSansUnicode-1pt"/>
        <w:noProof/>
      </w:rPr>
      <w:t>16</w:t>
    </w:r>
    <w:r>
      <w:rPr>
        <w:rStyle w:val="LucidaSansUnicode-1pt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D12" w:rsidRPr="00B759F7" w:rsidRDefault="0046048F" w:rsidP="007A7B06">
    <w:pPr>
      <w:pStyle w:val="a4"/>
      <w:framePr w:w="11935" w:h="564" w:hRule="exact" w:wrap="none" w:vAnchor="text" w:hAnchor="page" w:x="-14" w:y="651"/>
      <w:shd w:val="clear" w:color="auto" w:fill="auto"/>
      <w:ind w:left="10968" w:hanging="2604"/>
      <w:rPr>
        <w:rFonts w:ascii="PT Astra Serif" w:hAnsi="PT Astra Serif"/>
      </w:rPr>
    </w:pPr>
    <w:r w:rsidRPr="0046048F">
      <w:rPr>
        <w:rFonts w:eastAsia="Times New Roman" w:cs="Times New Roman"/>
      </w:rPr>
      <w:fldChar w:fldCharType="begin"/>
    </w:r>
    <w:r w:rsidR="00A34D12" w:rsidRPr="00B759F7">
      <w:rPr>
        <w:rFonts w:ascii="PT Astra Serif" w:hAnsi="PT Astra Serif"/>
      </w:rPr>
      <w:instrText xml:space="preserve"> PAGE \* MERGEFORMAT </w:instrText>
    </w:r>
    <w:r w:rsidRPr="0046048F">
      <w:rPr>
        <w:rFonts w:eastAsia="Times New Roman" w:cs="Times New Roman"/>
      </w:rPr>
      <w:fldChar w:fldCharType="separate"/>
    </w:r>
    <w:r w:rsidR="002E44EF" w:rsidRPr="002E44EF">
      <w:rPr>
        <w:rStyle w:val="LucidaSansUnicode-1pt"/>
        <w:rFonts w:ascii="PT Astra Serif" w:hAnsi="PT Astra Serif"/>
        <w:noProof/>
      </w:rPr>
      <w:t>26</w:t>
    </w:r>
    <w:r w:rsidRPr="00B759F7">
      <w:rPr>
        <w:rStyle w:val="LucidaSansUnicode-1pt"/>
        <w:rFonts w:ascii="PT Astra Serif" w:hAnsi="PT Astra Serif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096" w:rsidRDefault="00C97096" w:rsidP="000E6210">
      <w:pPr>
        <w:spacing w:after="0" w:line="240" w:lineRule="auto"/>
      </w:pPr>
      <w:r>
        <w:separator/>
      </w:r>
    </w:p>
  </w:footnote>
  <w:footnote w:type="continuationSeparator" w:id="1">
    <w:p w:rsidR="00C97096" w:rsidRDefault="00C97096" w:rsidP="000E6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50F"/>
    <w:rsid w:val="00001E54"/>
    <w:rsid w:val="00004356"/>
    <w:rsid w:val="000079B4"/>
    <w:rsid w:val="000131FA"/>
    <w:rsid w:val="0001506B"/>
    <w:rsid w:val="000213A9"/>
    <w:rsid w:val="0002191D"/>
    <w:rsid w:val="0002619A"/>
    <w:rsid w:val="00026DA4"/>
    <w:rsid w:val="000273BC"/>
    <w:rsid w:val="000300ED"/>
    <w:rsid w:val="00036327"/>
    <w:rsid w:val="00036F85"/>
    <w:rsid w:val="000408CC"/>
    <w:rsid w:val="000469EE"/>
    <w:rsid w:val="00052313"/>
    <w:rsid w:val="0005382F"/>
    <w:rsid w:val="0005494F"/>
    <w:rsid w:val="000612E6"/>
    <w:rsid w:val="000741C4"/>
    <w:rsid w:val="00075D72"/>
    <w:rsid w:val="000767F1"/>
    <w:rsid w:val="00083F5B"/>
    <w:rsid w:val="00095D66"/>
    <w:rsid w:val="00095F4A"/>
    <w:rsid w:val="000B1057"/>
    <w:rsid w:val="000B19D3"/>
    <w:rsid w:val="000B1D02"/>
    <w:rsid w:val="000C265A"/>
    <w:rsid w:val="000C6293"/>
    <w:rsid w:val="000D1E57"/>
    <w:rsid w:val="000E0E3A"/>
    <w:rsid w:val="000E44C1"/>
    <w:rsid w:val="000E6210"/>
    <w:rsid w:val="000E7152"/>
    <w:rsid w:val="000F0C62"/>
    <w:rsid w:val="000F2C88"/>
    <w:rsid w:val="000F5290"/>
    <w:rsid w:val="000F72BC"/>
    <w:rsid w:val="001004BD"/>
    <w:rsid w:val="001040F9"/>
    <w:rsid w:val="001124D7"/>
    <w:rsid w:val="001126D4"/>
    <w:rsid w:val="0012089B"/>
    <w:rsid w:val="00120D57"/>
    <w:rsid w:val="00120E8D"/>
    <w:rsid w:val="00121DD5"/>
    <w:rsid w:val="00122219"/>
    <w:rsid w:val="00122D52"/>
    <w:rsid w:val="00125397"/>
    <w:rsid w:val="001268D8"/>
    <w:rsid w:val="00127D05"/>
    <w:rsid w:val="00147690"/>
    <w:rsid w:val="0015261F"/>
    <w:rsid w:val="00160DB4"/>
    <w:rsid w:val="00167B0D"/>
    <w:rsid w:val="00174382"/>
    <w:rsid w:val="00174DD2"/>
    <w:rsid w:val="0017654F"/>
    <w:rsid w:val="00197123"/>
    <w:rsid w:val="00197F91"/>
    <w:rsid w:val="001A0B76"/>
    <w:rsid w:val="001A1CF0"/>
    <w:rsid w:val="001A3588"/>
    <w:rsid w:val="001B016B"/>
    <w:rsid w:val="001B027A"/>
    <w:rsid w:val="001B1F34"/>
    <w:rsid w:val="001B4360"/>
    <w:rsid w:val="001B4E83"/>
    <w:rsid w:val="001B6FAC"/>
    <w:rsid w:val="001C020B"/>
    <w:rsid w:val="001C7EA5"/>
    <w:rsid w:val="001D007C"/>
    <w:rsid w:val="001D5D01"/>
    <w:rsid w:val="001D683A"/>
    <w:rsid w:val="001D7F9C"/>
    <w:rsid w:val="001E1223"/>
    <w:rsid w:val="001E1ABF"/>
    <w:rsid w:val="001E1DDA"/>
    <w:rsid w:val="001E2E53"/>
    <w:rsid w:val="001E54AE"/>
    <w:rsid w:val="001F0A3D"/>
    <w:rsid w:val="001F2471"/>
    <w:rsid w:val="001F293C"/>
    <w:rsid w:val="001F3159"/>
    <w:rsid w:val="001F632F"/>
    <w:rsid w:val="001F72BD"/>
    <w:rsid w:val="0020021C"/>
    <w:rsid w:val="00202417"/>
    <w:rsid w:val="002028B7"/>
    <w:rsid w:val="00203CC6"/>
    <w:rsid w:val="0020667A"/>
    <w:rsid w:val="00210F6A"/>
    <w:rsid w:val="0021594D"/>
    <w:rsid w:val="00220836"/>
    <w:rsid w:val="0022702F"/>
    <w:rsid w:val="0023279A"/>
    <w:rsid w:val="00237F7D"/>
    <w:rsid w:val="00240AF8"/>
    <w:rsid w:val="002455C4"/>
    <w:rsid w:val="00252DC4"/>
    <w:rsid w:val="00264F4E"/>
    <w:rsid w:val="0026516D"/>
    <w:rsid w:val="002731AA"/>
    <w:rsid w:val="00277778"/>
    <w:rsid w:val="00277E5F"/>
    <w:rsid w:val="00292CE7"/>
    <w:rsid w:val="002A0A95"/>
    <w:rsid w:val="002A1D1D"/>
    <w:rsid w:val="002A5E0F"/>
    <w:rsid w:val="002C1304"/>
    <w:rsid w:val="002C355B"/>
    <w:rsid w:val="002C4BCB"/>
    <w:rsid w:val="002D246D"/>
    <w:rsid w:val="002E24B9"/>
    <w:rsid w:val="002E44EF"/>
    <w:rsid w:val="002F1DEB"/>
    <w:rsid w:val="003045C8"/>
    <w:rsid w:val="003163E2"/>
    <w:rsid w:val="003234E8"/>
    <w:rsid w:val="00324455"/>
    <w:rsid w:val="00324820"/>
    <w:rsid w:val="0032506C"/>
    <w:rsid w:val="003266AA"/>
    <w:rsid w:val="00327C9F"/>
    <w:rsid w:val="003424DD"/>
    <w:rsid w:val="003431DE"/>
    <w:rsid w:val="00344CBF"/>
    <w:rsid w:val="00346E7B"/>
    <w:rsid w:val="003579F5"/>
    <w:rsid w:val="003617C8"/>
    <w:rsid w:val="00361E3A"/>
    <w:rsid w:val="003631C2"/>
    <w:rsid w:val="00376626"/>
    <w:rsid w:val="00382217"/>
    <w:rsid w:val="00382241"/>
    <w:rsid w:val="003871AF"/>
    <w:rsid w:val="003A29C4"/>
    <w:rsid w:val="003A2BF5"/>
    <w:rsid w:val="003A5A3A"/>
    <w:rsid w:val="003B59F9"/>
    <w:rsid w:val="003B6B8A"/>
    <w:rsid w:val="003C0991"/>
    <w:rsid w:val="003C35B5"/>
    <w:rsid w:val="003E2976"/>
    <w:rsid w:val="003E7AC5"/>
    <w:rsid w:val="003F05D9"/>
    <w:rsid w:val="003F74D5"/>
    <w:rsid w:val="00400BB0"/>
    <w:rsid w:val="00414DCA"/>
    <w:rsid w:val="0042358D"/>
    <w:rsid w:val="004237AD"/>
    <w:rsid w:val="00424327"/>
    <w:rsid w:val="00434DED"/>
    <w:rsid w:val="0044791C"/>
    <w:rsid w:val="00447DA0"/>
    <w:rsid w:val="00450234"/>
    <w:rsid w:val="00454BA1"/>
    <w:rsid w:val="004551B6"/>
    <w:rsid w:val="00457A67"/>
    <w:rsid w:val="0046048F"/>
    <w:rsid w:val="00461D3F"/>
    <w:rsid w:val="004624C7"/>
    <w:rsid w:val="004640FE"/>
    <w:rsid w:val="00465A4D"/>
    <w:rsid w:val="00466667"/>
    <w:rsid w:val="00480A5C"/>
    <w:rsid w:val="00483201"/>
    <w:rsid w:val="00484567"/>
    <w:rsid w:val="0048575B"/>
    <w:rsid w:val="00485F05"/>
    <w:rsid w:val="00492205"/>
    <w:rsid w:val="004B466D"/>
    <w:rsid w:val="004B46BF"/>
    <w:rsid w:val="004B5CF0"/>
    <w:rsid w:val="004C1543"/>
    <w:rsid w:val="004C1CA2"/>
    <w:rsid w:val="004C5298"/>
    <w:rsid w:val="004D37FD"/>
    <w:rsid w:val="004D64AD"/>
    <w:rsid w:val="004D7BBD"/>
    <w:rsid w:val="004E3FFD"/>
    <w:rsid w:val="004F0BAE"/>
    <w:rsid w:val="004F56CD"/>
    <w:rsid w:val="005014E3"/>
    <w:rsid w:val="005025AA"/>
    <w:rsid w:val="00503692"/>
    <w:rsid w:val="00506043"/>
    <w:rsid w:val="00506E3F"/>
    <w:rsid w:val="00522052"/>
    <w:rsid w:val="0052266B"/>
    <w:rsid w:val="00530518"/>
    <w:rsid w:val="00532FEC"/>
    <w:rsid w:val="00534FDB"/>
    <w:rsid w:val="0054300C"/>
    <w:rsid w:val="00545116"/>
    <w:rsid w:val="0055261E"/>
    <w:rsid w:val="00555839"/>
    <w:rsid w:val="005574DD"/>
    <w:rsid w:val="00560C2C"/>
    <w:rsid w:val="00571D6C"/>
    <w:rsid w:val="00572736"/>
    <w:rsid w:val="00572A27"/>
    <w:rsid w:val="00576FF3"/>
    <w:rsid w:val="00577046"/>
    <w:rsid w:val="00581925"/>
    <w:rsid w:val="00582901"/>
    <w:rsid w:val="005843B4"/>
    <w:rsid w:val="0059222A"/>
    <w:rsid w:val="00592D8B"/>
    <w:rsid w:val="005930A7"/>
    <w:rsid w:val="00593E0B"/>
    <w:rsid w:val="00596ABA"/>
    <w:rsid w:val="005B0379"/>
    <w:rsid w:val="005B11C6"/>
    <w:rsid w:val="005C4125"/>
    <w:rsid w:val="005D45DA"/>
    <w:rsid w:val="005E62E6"/>
    <w:rsid w:val="005E7DF4"/>
    <w:rsid w:val="0060369A"/>
    <w:rsid w:val="0060563E"/>
    <w:rsid w:val="00607A45"/>
    <w:rsid w:val="00607C85"/>
    <w:rsid w:val="0061054A"/>
    <w:rsid w:val="006179F4"/>
    <w:rsid w:val="00617A48"/>
    <w:rsid w:val="00623C74"/>
    <w:rsid w:val="00623F53"/>
    <w:rsid w:val="006262C8"/>
    <w:rsid w:val="0062688E"/>
    <w:rsid w:val="00631275"/>
    <w:rsid w:val="00637063"/>
    <w:rsid w:val="00641994"/>
    <w:rsid w:val="0064380F"/>
    <w:rsid w:val="00644301"/>
    <w:rsid w:val="0064484C"/>
    <w:rsid w:val="00651D5D"/>
    <w:rsid w:val="00656DA8"/>
    <w:rsid w:val="00660291"/>
    <w:rsid w:val="006602C8"/>
    <w:rsid w:val="00660D3D"/>
    <w:rsid w:val="00663C3D"/>
    <w:rsid w:val="00670177"/>
    <w:rsid w:val="00671269"/>
    <w:rsid w:val="006765E0"/>
    <w:rsid w:val="006773CB"/>
    <w:rsid w:val="00681232"/>
    <w:rsid w:val="0068281E"/>
    <w:rsid w:val="0068369D"/>
    <w:rsid w:val="0069198E"/>
    <w:rsid w:val="006A0FA9"/>
    <w:rsid w:val="006B01C6"/>
    <w:rsid w:val="006B2F1B"/>
    <w:rsid w:val="006B780D"/>
    <w:rsid w:val="006C35C1"/>
    <w:rsid w:val="006C4436"/>
    <w:rsid w:val="006C6398"/>
    <w:rsid w:val="006D1228"/>
    <w:rsid w:val="006D602C"/>
    <w:rsid w:val="006D69AD"/>
    <w:rsid w:val="006D7339"/>
    <w:rsid w:val="006E11EF"/>
    <w:rsid w:val="006E5D77"/>
    <w:rsid w:val="006F03E0"/>
    <w:rsid w:val="006F643B"/>
    <w:rsid w:val="007031D9"/>
    <w:rsid w:val="00703C1F"/>
    <w:rsid w:val="00705FBF"/>
    <w:rsid w:val="00716632"/>
    <w:rsid w:val="00725B26"/>
    <w:rsid w:val="0073039E"/>
    <w:rsid w:val="00732ECB"/>
    <w:rsid w:val="00743AE8"/>
    <w:rsid w:val="007442AE"/>
    <w:rsid w:val="00747D22"/>
    <w:rsid w:val="00753DC7"/>
    <w:rsid w:val="007558D2"/>
    <w:rsid w:val="00755B41"/>
    <w:rsid w:val="007608E9"/>
    <w:rsid w:val="007621D5"/>
    <w:rsid w:val="00764068"/>
    <w:rsid w:val="00764268"/>
    <w:rsid w:val="00772C2E"/>
    <w:rsid w:val="0077505D"/>
    <w:rsid w:val="00780503"/>
    <w:rsid w:val="0078370F"/>
    <w:rsid w:val="00783B49"/>
    <w:rsid w:val="00792A33"/>
    <w:rsid w:val="00795791"/>
    <w:rsid w:val="007976DD"/>
    <w:rsid w:val="007A6421"/>
    <w:rsid w:val="007A7351"/>
    <w:rsid w:val="007A7B06"/>
    <w:rsid w:val="007B08F3"/>
    <w:rsid w:val="007B3159"/>
    <w:rsid w:val="007C18BA"/>
    <w:rsid w:val="007D4C25"/>
    <w:rsid w:val="007E0DFB"/>
    <w:rsid w:val="007E0E91"/>
    <w:rsid w:val="007E23D9"/>
    <w:rsid w:val="007E2668"/>
    <w:rsid w:val="007E5B9D"/>
    <w:rsid w:val="007E684C"/>
    <w:rsid w:val="007E7842"/>
    <w:rsid w:val="007F0786"/>
    <w:rsid w:val="007F3B27"/>
    <w:rsid w:val="007F46B7"/>
    <w:rsid w:val="007F4B72"/>
    <w:rsid w:val="00803659"/>
    <w:rsid w:val="00803A49"/>
    <w:rsid w:val="0081158C"/>
    <w:rsid w:val="0081220F"/>
    <w:rsid w:val="00815E7F"/>
    <w:rsid w:val="008220AB"/>
    <w:rsid w:val="00826143"/>
    <w:rsid w:val="00832D97"/>
    <w:rsid w:val="00836BA6"/>
    <w:rsid w:val="00846D64"/>
    <w:rsid w:val="0085293A"/>
    <w:rsid w:val="00860D8D"/>
    <w:rsid w:val="00863027"/>
    <w:rsid w:val="00863CC7"/>
    <w:rsid w:val="00871616"/>
    <w:rsid w:val="00872348"/>
    <w:rsid w:val="00873101"/>
    <w:rsid w:val="00876A8F"/>
    <w:rsid w:val="008939CD"/>
    <w:rsid w:val="00893F92"/>
    <w:rsid w:val="00897038"/>
    <w:rsid w:val="008A02F0"/>
    <w:rsid w:val="008A4FC5"/>
    <w:rsid w:val="008A656C"/>
    <w:rsid w:val="008B06C8"/>
    <w:rsid w:val="008C3158"/>
    <w:rsid w:val="008C3469"/>
    <w:rsid w:val="008C53A5"/>
    <w:rsid w:val="008D2287"/>
    <w:rsid w:val="008E1532"/>
    <w:rsid w:val="008E1C78"/>
    <w:rsid w:val="008E1CA6"/>
    <w:rsid w:val="008E2F4D"/>
    <w:rsid w:val="008F6B0D"/>
    <w:rsid w:val="0090527A"/>
    <w:rsid w:val="009077F8"/>
    <w:rsid w:val="00907CF2"/>
    <w:rsid w:val="00912854"/>
    <w:rsid w:val="009257FF"/>
    <w:rsid w:val="00927D5F"/>
    <w:rsid w:val="00930C8D"/>
    <w:rsid w:val="00932E95"/>
    <w:rsid w:val="00932F98"/>
    <w:rsid w:val="0094478A"/>
    <w:rsid w:val="009472FB"/>
    <w:rsid w:val="00955382"/>
    <w:rsid w:val="00956FDA"/>
    <w:rsid w:val="00971499"/>
    <w:rsid w:val="00974443"/>
    <w:rsid w:val="00975B9F"/>
    <w:rsid w:val="00980DE6"/>
    <w:rsid w:val="009848F7"/>
    <w:rsid w:val="00990E8D"/>
    <w:rsid w:val="009A0358"/>
    <w:rsid w:val="009A6207"/>
    <w:rsid w:val="009B1189"/>
    <w:rsid w:val="009B13E1"/>
    <w:rsid w:val="009B2A5F"/>
    <w:rsid w:val="009B2DC8"/>
    <w:rsid w:val="009B411B"/>
    <w:rsid w:val="009B4A24"/>
    <w:rsid w:val="009B519B"/>
    <w:rsid w:val="009B7477"/>
    <w:rsid w:val="009C3DB4"/>
    <w:rsid w:val="009D32EC"/>
    <w:rsid w:val="009D50F8"/>
    <w:rsid w:val="009E0FD8"/>
    <w:rsid w:val="009E386C"/>
    <w:rsid w:val="009E6D79"/>
    <w:rsid w:val="009F02CA"/>
    <w:rsid w:val="009F1F9F"/>
    <w:rsid w:val="009F2956"/>
    <w:rsid w:val="009F4D1F"/>
    <w:rsid w:val="00A03E1A"/>
    <w:rsid w:val="00A0737C"/>
    <w:rsid w:val="00A10D5C"/>
    <w:rsid w:val="00A12B55"/>
    <w:rsid w:val="00A13DF3"/>
    <w:rsid w:val="00A2410F"/>
    <w:rsid w:val="00A24929"/>
    <w:rsid w:val="00A26633"/>
    <w:rsid w:val="00A319F3"/>
    <w:rsid w:val="00A32CD4"/>
    <w:rsid w:val="00A34D12"/>
    <w:rsid w:val="00A43D3F"/>
    <w:rsid w:val="00A47FE4"/>
    <w:rsid w:val="00A5521B"/>
    <w:rsid w:val="00A732C2"/>
    <w:rsid w:val="00A75067"/>
    <w:rsid w:val="00A82EA3"/>
    <w:rsid w:val="00A841F9"/>
    <w:rsid w:val="00A84E9A"/>
    <w:rsid w:val="00A92ED5"/>
    <w:rsid w:val="00A93164"/>
    <w:rsid w:val="00AB09E9"/>
    <w:rsid w:val="00AB6103"/>
    <w:rsid w:val="00AC12A1"/>
    <w:rsid w:val="00AC24AB"/>
    <w:rsid w:val="00AC5139"/>
    <w:rsid w:val="00AC5605"/>
    <w:rsid w:val="00AC79BD"/>
    <w:rsid w:val="00AE0AE8"/>
    <w:rsid w:val="00AE2B70"/>
    <w:rsid w:val="00AF0321"/>
    <w:rsid w:val="00AF35AC"/>
    <w:rsid w:val="00AF69F0"/>
    <w:rsid w:val="00AF6B48"/>
    <w:rsid w:val="00B06645"/>
    <w:rsid w:val="00B10655"/>
    <w:rsid w:val="00B119BE"/>
    <w:rsid w:val="00B145E4"/>
    <w:rsid w:val="00B162B3"/>
    <w:rsid w:val="00B1797C"/>
    <w:rsid w:val="00B2075D"/>
    <w:rsid w:val="00B2292F"/>
    <w:rsid w:val="00B32894"/>
    <w:rsid w:val="00B3340E"/>
    <w:rsid w:val="00B358B1"/>
    <w:rsid w:val="00B35B4B"/>
    <w:rsid w:val="00B46226"/>
    <w:rsid w:val="00B47414"/>
    <w:rsid w:val="00B47ADD"/>
    <w:rsid w:val="00B53E2F"/>
    <w:rsid w:val="00B569E8"/>
    <w:rsid w:val="00B577EA"/>
    <w:rsid w:val="00B63A01"/>
    <w:rsid w:val="00B65439"/>
    <w:rsid w:val="00B65AB3"/>
    <w:rsid w:val="00B72213"/>
    <w:rsid w:val="00B759F7"/>
    <w:rsid w:val="00B773FA"/>
    <w:rsid w:val="00B84F8C"/>
    <w:rsid w:val="00B92A30"/>
    <w:rsid w:val="00B97C87"/>
    <w:rsid w:val="00BA08C4"/>
    <w:rsid w:val="00BA3D5C"/>
    <w:rsid w:val="00BA5E8B"/>
    <w:rsid w:val="00BA7B78"/>
    <w:rsid w:val="00BB20E3"/>
    <w:rsid w:val="00BB33D2"/>
    <w:rsid w:val="00BC1163"/>
    <w:rsid w:val="00BC2E72"/>
    <w:rsid w:val="00BC35F5"/>
    <w:rsid w:val="00BC534E"/>
    <w:rsid w:val="00BD060A"/>
    <w:rsid w:val="00BD3319"/>
    <w:rsid w:val="00BE4077"/>
    <w:rsid w:val="00BE4B20"/>
    <w:rsid w:val="00BF002F"/>
    <w:rsid w:val="00BF1726"/>
    <w:rsid w:val="00BF592E"/>
    <w:rsid w:val="00BF7A04"/>
    <w:rsid w:val="00BF7C45"/>
    <w:rsid w:val="00C011E8"/>
    <w:rsid w:val="00C01377"/>
    <w:rsid w:val="00C05905"/>
    <w:rsid w:val="00C05E7A"/>
    <w:rsid w:val="00C07512"/>
    <w:rsid w:val="00C12BFE"/>
    <w:rsid w:val="00C15677"/>
    <w:rsid w:val="00C157E1"/>
    <w:rsid w:val="00C20EE0"/>
    <w:rsid w:val="00C21BC4"/>
    <w:rsid w:val="00C24DC1"/>
    <w:rsid w:val="00C33F5B"/>
    <w:rsid w:val="00C37AD0"/>
    <w:rsid w:val="00C404B6"/>
    <w:rsid w:val="00C41D55"/>
    <w:rsid w:val="00C43220"/>
    <w:rsid w:val="00C477BC"/>
    <w:rsid w:val="00C525C4"/>
    <w:rsid w:val="00C53E2F"/>
    <w:rsid w:val="00C54781"/>
    <w:rsid w:val="00C56C39"/>
    <w:rsid w:val="00C67EA4"/>
    <w:rsid w:val="00C7041A"/>
    <w:rsid w:val="00C80D1A"/>
    <w:rsid w:val="00C816DC"/>
    <w:rsid w:val="00C86278"/>
    <w:rsid w:val="00C908B4"/>
    <w:rsid w:val="00C94A34"/>
    <w:rsid w:val="00C94D9F"/>
    <w:rsid w:val="00C97096"/>
    <w:rsid w:val="00C97EA4"/>
    <w:rsid w:val="00CA0050"/>
    <w:rsid w:val="00CA7A78"/>
    <w:rsid w:val="00CC0281"/>
    <w:rsid w:val="00CC3975"/>
    <w:rsid w:val="00CC4563"/>
    <w:rsid w:val="00CC4C57"/>
    <w:rsid w:val="00CC77B6"/>
    <w:rsid w:val="00CD36F0"/>
    <w:rsid w:val="00CE048E"/>
    <w:rsid w:val="00CE73BF"/>
    <w:rsid w:val="00CF6459"/>
    <w:rsid w:val="00D0206A"/>
    <w:rsid w:val="00D041AB"/>
    <w:rsid w:val="00D04C0E"/>
    <w:rsid w:val="00D12E04"/>
    <w:rsid w:val="00D147F7"/>
    <w:rsid w:val="00D21D1A"/>
    <w:rsid w:val="00D2468A"/>
    <w:rsid w:val="00D24C47"/>
    <w:rsid w:val="00D32FCA"/>
    <w:rsid w:val="00D335C1"/>
    <w:rsid w:val="00D409E2"/>
    <w:rsid w:val="00D4247F"/>
    <w:rsid w:val="00D43617"/>
    <w:rsid w:val="00D43D40"/>
    <w:rsid w:val="00D44155"/>
    <w:rsid w:val="00D473FE"/>
    <w:rsid w:val="00D53500"/>
    <w:rsid w:val="00D644B7"/>
    <w:rsid w:val="00D700E6"/>
    <w:rsid w:val="00D755F0"/>
    <w:rsid w:val="00D81CD6"/>
    <w:rsid w:val="00D826D7"/>
    <w:rsid w:val="00D82C3D"/>
    <w:rsid w:val="00D907D0"/>
    <w:rsid w:val="00D96AFB"/>
    <w:rsid w:val="00D97B8A"/>
    <w:rsid w:val="00DA19E1"/>
    <w:rsid w:val="00DA6BCA"/>
    <w:rsid w:val="00DB2D25"/>
    <w:rsid w:val="00DB3112"/>
    <w:rsid w:val="00DB3544"/>
    <w:rsid w:val="00DB4BFA"/>
    <w:rsid w:val="00DB6323"/>
    <w:rsid w:val="00DB72E2"/>
    <w:rsid w:val="00DD2B14"/>
    <w:rsid w:val="00DD49C5"/>
    <w:rsid w:val="00DE0CB5"/>
    <w:rsid w:val="00DE199F"/>
    <w:rsid w:val="00DE7C52"/>
    <w:rsid w:val="00DF796F"/>
    <w:rsid w:val="00E0193F"/>
    <w:rsid w:val="00E21D21"/>
    <w:rsid w:val="00E23401"/>
    <w:rsid w:val="00E237F9"/>
    <w:rsid w:val="00E25FA7"/>
    <w:rsid w:val="00E36A65"/>
    <w:rsid w:val="00E41DDD"/>
    <w:rsid w:val="00E428EF"/>
    <w:rsid w:val="00E54514"/>
    <w:rsid w:val="00E56DDC"/>
    <w:rsid w:val="00E65BF4"/>
    <w:rsid w:val="00E77453"/>
    <w:rsid w:val="00E84767"/>
    <w:rsid w:val="00E8569C"/>
    <w:rsid w:val="00E90D47"/>
    <w:rsid w:val="00E9113D"/>
    <w:rsid w:val="00E92000"/>
    <w:rsid w:val="00E94113"/>
    <w:rsid w:val="00E96BC5"/>
    <w:rsid w:val="00EA18A8"/>
    <w:rsid w:val="00EA27AF"/>
    <w:rsid w:val="00EA463C"/>
    <w:rsid w:val="00EA4CD4"/>
    <w:rsid w:val="00EB55DB"/>
    <w:rsid w:val="00EC3E7F"/>
    <w:rsid w:val="00ED41B1"/>
    <w:rsid w:val="00EE272A"/>
    <w:rsid w:val="00EF17DA"/>
    <w:rsid w:val="00EF46E1"/>
    <w:rsid w:val="00EF4AE9"/>
    <w:rsid w:val="00F00137"/>
    <w:rsid w:val="00F0737E"/>
    <w:rsid w:val="00F1295D"/>
    <w:rsid w:val="00F1323B"/>
    <w:rsid w:val="00F27AC9"/>
    <w:rsid w:val="00F33525"/>
    <w:rsid w:val="00F3357A"/>
    <w:rsid w:val="00F35554"/>
    <w:rsid w:val="00F475D0"/>
    <w:rsid w:val="00F47795"/>
    <w:rsid w:val="00F55C23"/>
    <w:rsid w:val="00F572E2"/>
    <w:rsid w:val="00F63902"/>
    <w:rsid w:val="00F66A48"/>
    <w:rsid w:val="00F73755"/>
    <w:rsid w:val="00F744AF"/>
    <w:rsid w:val="00F8490E"/>
    <w:rsid w:val="00F84EDD"/>
    <w:rsid w:val="00F91A54"/>
    <w:rsid w:val="00F93DB5"/>
    <w:rsid w:val="00F9750F"/>
    <w:rsid w:val="00FA0AE1"/>
    <w:rsid w:val="00FA1351"/>
    <w:rsid w:val="00FA2B98"/>
    <w:rsid w:val="00FA4537"/>
    <w:rsid w:val="00FA4A01"/>
    <w:rsid w:val="00FA4BCB"/>
    <w:rsid w:val="00FB730E"/>
    <w:rsid w:val="00FC2870"/>
    <w:rsid w:val="00FC5B8A"/>
    <w:rsid w:val="00FD7703"/>
    <w:rsid w:val="00FE0B2B"/>
    <w:rsid w:val="00FE56A9"/>
    <w:rsid w:val="00FF2963"/>
    <w:rsid w:val="00FF3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F9750F"/>
    <w:rPr>
      <w:shd w:val="clear" w:color="auto" w:fill="FFFFFF"/>
    </w:rPr>
  </w:style>
  <w:style w:type="character" w:customStyle="1" w:styleId="LucidaSansUnicode-1pt">
    <w:name w:val="Колонтитул + Lucida Sans Unicode;Интервал -1 pt"/>
    <w:basedOn w:val="a3"/>
    <w:rsid w:val="00F9750F"/>
    <w:rPr>
      <w:rFonts w:ascii="Lucida Sans Unicode" w:eastAsia="Lucida Sans Unicode" w:hAnsi="Lucida Sans Unicode" w:cs="Lucida Sans Unicode"/>
      <w:spacing w:val="-20"/>
      <w:shd w:val="clear" w:color="auto" w:fill="FFFFFF"/>
    </w:rPr>
  </w:style>
  <w:style w:type="paragraph" w:customStyle="1" w:styleId="a4">
    <w:name w:val="Колонтитул"/>
    <w:basedOn w:val="a"/>
    <w:link w:val="a3"/>
    <w:rsid w:val="00F9750F"/>
    <w:pPr>
      <w:shd w:val="clear" w:color="auto" w:fill="FFFFFF"/>
      <w:spacing w:after="0" w:line="240" w:lineRule="auto"/>
    </w:pPr>
  </w:style>
  <w:style w:type="paragraph" w:customStyle="1" w:styleId="ConsPlusNormal">
    <w:name w:val="ConsPlusNormal"/>
    <w:rsid w:val="00F975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97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400B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400BB0"/>
    <w:rPr>
      <w:color w:val="106BBE"/>
    </w:rPr>
  </w:style>
  <w:style w:type="character" w:styleId="a8">
    <w:name w:val="Hyperlink"/>
    <w:basedOn w:val="a0"/>
    <w:uiPriority w:val="99"/>
    <w:semiHidden/>
    <w:unhideWhenUsed/>
    <w:rsid w:val="00DE199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B06"/>
  </w:style>
  <w:style w:type="paragraph" w:styleId="ab">
    <w:name w:val="footer"/>
    <w:basedOn w:val="a"/>
    <w:link w:val="ac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B06"/>
  </w:style>
  <w:style w:type="paragraph" w:customStyle="1" w:styleId="s1">
    <w:name w:val="s_1"/>
    <w:basedOn w:val="a"/>
    <w:rsid w:val="001F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3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EDC47-0A3D-43DD-BF83-E4A92FF3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2945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A.Ragulina</dc:creator>
  <cp:lastModifiedBy>E.Zaharova</cp:lastModifiedBy>
  <cp:revision>5</cp:revision>
  <cp:lastPrinted>2024-02-15T11:44:00Z</cp:lastPrinted>
  <dcterms:created xsi:type="dcterms:W3CDTF">2024-02-02T06:41:00Z</dcterms:created>
  <dcterms:modified xsi:type="dcterms:W3CDTF">2024-02-15T11:45:00Z</dcterms:modified>
</cp:coreProperties>
</file>